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6617" w14:textId="77777777" w:rsidR="00775CDD" w:rsidRDefault="00775CDD" w:rsidP="00775CDD">
      <w:pPr>
        <w:pStyle w:val="StandardWeb"/>
        <w:rPr>
          <w:rFonts w:ascii="Arial" w:hAnsi="Arial" w:cs="Arial"/>
          <w:b/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4AF10B" wp14:editId="790E3D29">
            <wp:simplePos x="0" y="0"/>
            <wp:positionH relativeFrom="column">
              <wp:posOffset>5148580</wp:posOffset>
            </wp:positionH>
            <wp:positionV relativeFrom="paragraph">
              <wp:posOffset>-442595</wp:posOffset>
            </wp:positionV>
            <wp:extent cx="914400" cy="909955"/>
            <wp:effectExtent l="0" t="0" r="0" b="4445"/>
            <wp:wrapTight wrapText="bothSides">
              <wp:wrapPolygon edited="0">
                <wp:start x="0" y="0"/>
                <wp:lineTo x="0" y="21253"/>
                <wp:lineTo x="21150" y="21253"/>
                <wp:lineTo x="2115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Maktue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793BFF" w14:textId="0718121B" w:rsidR="00775CDD" w:rsidRDefault="00775CDD" w:rsidP="00775CDD">
      <w:pPr>
        <w:pStyle w:val="StandardWeb"/>
        <w:rPr>
          <w:rFonts w:ascii="Arial" w:hAnsi="Arial" w:cs="Arial"/>
          <w:b/>
          <w:bCs/>
          <w:color w:val="000000"/>
        </w:rPr>
      </w:pPr>
    </w:p>
    <w:p w14:paraId="417B57AC" w14:textId="33DF2E5D" w:rsidR="004956A8" w:rsidRDefault="004956A8" w:rsidP="00775CDD">
      <w:pPr>
        <w:pStyle w:val="StandardWeb"/>
        <w:rPr>
          <w:rFonts w:ascii="Arial" w:hAnsi="Arial" w:cs="Arial"/>
          <w:b/>
          <w:bCs/>
          <w:color w:val="000000"/>
        </w:rPr>
      </w:pPr>
    </w:p>
    <w:p w14:paraId="14026733" w14:textId="3B3DD8F5" w:rsidR="004956A8" w:rsidRDefault="004956A8" w:rsidP="00775CDD">
      <w:pPr>
        <w:pStyle w:val="StandardWeb"/>
        <w:rPr>
          <w:rFonts w:ascii="Arial" w:hAnsi="Arial" w:cs="Arial"/>
          <w:b/>
          <w:bCs/>
          <w:color w:val="000000"/>
        </w:rPr>
      </w:pPr>
    </w:p>
    <w:p w14:paraId="4EB90924" w14:textId="2BA097A0" w:rsidR="004956A8" w:rsidRDefault="004956A8" w:rsidP="00775CDD">
      <w:pPr>
        <w:pStyle w:val="StandardWeb"/>
        <w:rPr>
          <w:rFonts w:ascii="Arial" w:hAnsi="Arial" w:cs="Arial"/>
          <w:b/>
          <w:bCs/>
          <w:color w:val="000000"/>
        </w:rPr>
      </w:pPr>
    </w:p>
    <w:p w14:paraId="4AE59E08" w14:textId="77777777" w:rsidR="004956A8" w:rsidRDefault="004956A8" w:rsidP="00775CDD">
      <w:pPr>
        <w:pStyle w:val="StandardWeb"/>
        <w:rPr>
          <w:rFonts w:ascii="Arial" w:hAnsi="Arial" w:cs="Arial"/>
          <w:b/>
          <w:bCs/>
          <w:color w:val="000000"/>
        </w:rPr>
      </w:pPr>
    </w:p>
    <w:p w14:paraId="0DFF95F5" w14:textId="77777777" w:rsidR="00775CDD" w:rsidRDefault="00775CDD" w:rsidP="00775CDD">
      <w:pPr>
        <w:pStyle w:val="StandardWeb"/>
        <w:rPr>
          <w:rFonts w:ascii="Arial" w:hAnsi="Arial" w:cs="Arial"/>
          <w:b/>
          <w:bCs/>
          <w:color w:val="000000"/>
        </w:rPr>
      </w:pPr>
    </w:p>
    <w:p w14:paraId="21289632" w14:textId="35CCC16A" w:rsidR="00775CDD" w:rsidRPr="00775CDD" w:rsidRDefault="00775CDD" w:rsidP="00775CDD">
      <w:pPr>
        <w:pStyle w:val="StandardWeb"/>
        <w:rPr>
          <w:rFonts w:ascii="Arial" w:hAnsi="Arial" w:cs="Arial"/>
          <w:b/>
          <w:bCs/>
          <w:color w:val="000000"/>
          <w:sz w:val="28"/>
          <w:szCs w:val="28"/>
        </w:rPr>
      </w:pPr>
      <w:r w:rsidRPr="00775CDD">
        <w:rPr>
          <w:rFonts w:ascii="Arial" w:hAnsi="Arial" w:cs="Arial"/>
          <w:b/>
          <w:bCs/>
          <w:color w:val="000000"/>
          <w:sz w:val="28"/>
          <w:szCs w:val="28"/>
        </w:rPr>
        <w:t xml:space="preserve">Förderkriterien für </w:t>
      </w:r>
      <w:r w:rsidR="00DA0CE8">
        <w:rPr>
          <w:rFonts w:ascii="Arial" w:hAnsi="Arial" w:cs="Arial"/>
          <w:b/>
          <w:bCs/>
          <w:color w:val="000000"/>
          <w:sz w:val="28"/>
          <w:szCs w:val="28"/>
        </w:rPr>
        <w:t xml:space="preserve">den </w:t>
      </w:r>
      <w:proofErr w:type="spellStart"/>
      <w:r w:rsidRPr="00775CDD">
        <w:rPr>
          <w:rFonts w:ascii="Arial" w:hAnsi="Arial" w:cs="Arial"/>
          <w:b/>
          <w:bCs/>
          <w:color w:val="000000"/>
          <w:sz w:val="28"/>
          <w:szCs w:val="28"/>
        </w:rPr>
        <w:t>Matching</w:t>
      </w:r>
      <w:proofErr w:type="spellEnd"/>
      <w:r w:rsidR="00DA0CE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775CDD">
        <w:rPr>
          <w:rFonts w:ascii="Arial" w:hAnsi="Arial" w:cs="Arial"/>
          <w:b/>
          <w:bCs/>
          <w:color w:val="000000"/>
          <w:sz w:val="28"/>
          <w:szCs w:val="28"/>
        </w:rPr>
        <w:t>Fund</w:t>
      </w:r>
    </w:p>
    <w:p w14:paraId="2D16CCDD" w14:textId="405F5922" w:rsidR="00775CDD" w:rsidRPr="000D7A87" w:rsidRDefault="00775CDD" w:rsidP="00775CDD">
      <w:pPr>
        <w:pStyle w:val="StandardWeb"/>
        <w:rPr>
          <w:rFonts w:ascii="Arial" w:hAnsi="Arial" w:cs="Arial"/>
          <w:bCs/>
          <w:color w:val="000000"/>
        </w:rPr>
      </w:pPr>
    </w:p>
    <w:p w14:paraId="5EBE05D0" w14:textId="6875460C" w:rsidR="000D7A87" w:rsidRPr="000D7A87" w:rsidRDefault="000D7A87" w:rsidP="00DA0CE8">
      <w:pPr>
        <w:spacing w:line="240" w:lineRule="auto"/>
        <w:rPr>
          <w:rFonts w:ascii="Arial" w:eastAsia="Times New Roman" w:hAnsi="Arial" w:cs="Arial"/>
          <w:color w:val="0E1216"/>
          <w:lang w:eastAsia="de-DE"/>
        </w:rPr>
      </w:pPr>
      <w:r w:rsidRPr="000D7A87">
        <w:rPr>
          <w:rFonts w:ascii="Arial" w:eastAsia="Times New Roman" w:hAnsi="Arial" w:cs="Arial"/>
          <w:color w:val="0E1216"/>
          <w:lang w:eastAsia="de-DE"/>
        </w:rPr>
        <w:t>Die BürgerStiftung München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>verdoppelt unter bestimmten Voraussetzungen die vorhandenen Eigenmittel von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>Projekten mit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 xml:space="preserve">Geldern aus dem 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Fördertopf Agenda 2030 </w:t>
      </w:r>
      <w:r w:rsidRPr="000D7A87">
        <w:rPr>
          <w:rFonts w:ascii="Arial" w:eastAsia="Times New Roman" w:hAnsi="Arial" w:cs="Arial"/>
          <w:color w:val="0E1216"/>
          <w:lang w:eastAsia="de-DE"/>
        </w:rPr>
        <w:t xml:space="preserve">der 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Landeshauptstadt </w:t>
      </w:r>
      <w:r w:rsidRPr="000D7A87">
        <w:rPr>
          <w:rFonts w:ascii="Arial" w:eastAsia="Times New Roman" w:hAnsi="Arial" w:cs="Arial"/>
          <w:color w:val="0E1216"/>
          <w:lang w:eastAsia="de-DE"/>
        </w:rPr>
        <w:t>München. Bei diesem so genannten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>"</w:t>
      </w:r>
      <w:proofErr w:type="spellStart"/>
      <w:r w:rsidRPr="000D7A87">
        <w:rPr>
          <w:rFonts w:ascii="Arial" w:eastAsia="Times New Roman" w:hAnsi="Arial" w:cs="Arial"/>
          <w:color w:val="0E1216"/>
          <w:lang w:eastAsia="de-DE"/>
        </w:rPr>
        <w:t>Matching</w:t>
      </w:r>
      <w:proofErr w:type="spellEnd"/>
      <w:r w:rsidRPr="000D7A87">
        <w:rPr>
          <w:rFonts w:ascii="Arial" w:eastAsia="Times New Roman" w:hAnsi="Arial" w:cs="Arial"/>
          <w:color w:val="0E1216"/>
          <w:lang w:eastAsia="de-DE"/>
        </w:rPr>
        <w:t xml:space="preserve"> Fund"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>bringt der</w:t>
      </w:r>
      <w:r w:rsidR="00DA0CE8">
        <w:rPr>
          <w:rFonts w:ascii="Arial" w:eastAsia="Times New Roman" w:hAnsi="Arial" w:cs="Arial"/>
          <w:color w:val="0E1216"/>
          <w:lang w:eastAsia="de-DE"/>
        </w:rPr>
        <w:t>/die</w:t>
      </w:r>
      <w:r w:rsidRPr="000D7A87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="00DA0CE8">
        <w:rPr>
          <w:rFonts w:ascii="Arial" w:eastAsia="Times New Roman" w:hAnsi="Arial" w:cs="Arial"/>
          <w:color w:val="0E1216"/>
          <w:lang w:eastAsia="de-DE"/>
        </w:rPr>
        <w:t>Antragsteller*in</w:t>
      </w:r>
      <w:r w:rsidRPr="000D7A87">
        <w:rPr>
          <w:rFonts w:ascii="Arial" w:eastAsia="Times New Roman" w:hAnsi="Arial" w:cs="Arial"/>
          <w:color w:val="0E1216"/>
          <w:lang w:eastAsia="de-DE"/>
        </w:rPr>
        <w:t xml:space="preserve"> selbst 50% der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>Projektkosten aus nicht-städtischen Mitteln ein.</w:t>
      </w:r>
    </w:p>
    <w:p w14:paraId="3AAEA723" w14:textId="3976CC85" w:rsidR="004956A8" w:rsidRPr="000D7A87" w:rsidRDefault="004956A8" w:rsidP="004956A8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 xml:space="preserve">Der </w:t>
      </w:r>
      <w:proofErr w:type="spellStart"/>
      <w:r w:rsidRPr="000D7A87">
        <w:rPr>
          <w:rFonts w:ascii="Arial" w:hAnsi="Arial" w:cs="Arial"/>
          <w:bCs/>
          <w:color w:val="000000"/>
          <w:sz w:val="22"/>
          <w:szCs w:val="22"/>
        </w:rPr>
        <w:t>Matching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0D7A87">
        <w:rPr>
          <w:rFonts w:ascii="Arial" w:hAnsi="Arial" w:cs="Arial"/>
          <w:bCs/>
          <w:color w:val="000000"/>
          <w:sz w:val="22"/>
          <w:szCs w:val="22"/>
        </w:rPr>
        <w:t>Fund wird von der Landeshauptstadt München finanziert. Die Abwicklung der Projektauswahl und die Projektbegleitung erfolgt über die Bürgerstiftung München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6B44F8E1" w14:textId="4A77ECBC" w:rsidR="000D7A87" w:rsidRPr="000D7A87" w:rsidRDefault="000D7A87" w:rsidP="000D7A87">
      <w:pPr>
        <w:spacing w:line="240" w:lineRule="auto"/>
        <w:rPr>
          <w:rFonts w:ascii="Arial" w:eastAsia="Times New Roman" w:hAnsi="Arial" w:cs="Arial"/>
          <w:color w:val="0E1216"/>
          <w:lang w:eastAsia="de-DE"/>
        </w:rPr>
      </w:pPr>
      <w:r w:rsidRPr="000D7A87">
        <w:rPr>
          <w:rFonts w:ascii="Arial" w:eastAsia="Times New Roman" w:hAnsi="Arial" w:cs="Arial"/>
          <w:color w:val="0E1216"/>
          <w:lang w:eastAsia="de-DE"/>
        </w:rPr>
        <w:t>Für d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as Referat für Klima- und Umweltschutz (RKU) der Stadt München </w:t>
      </w:r>
      <w:r w:rsidRPr="000D7A87">
        <w:rPr>
          <w:rFonts w:ascii="Arial" w:eastAsia="Times New Roman" w:hAnsi="Arial" w:cs="Arial"/>
          <w:color w:val="0E1216"/>
          <w:lang w:eastAsia="de-DE"/>
        </w:rPr>
        <w:t>übernimmt die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 </w:t>
      </w:r>
      <w:r w:rsidRPr="000D7A87">
        <w:rPr>
          <w:rFonts w:ascii="Arial" w:eastAsia="Times New Roman" w:hAnsi="Arial" w:cs="Arial"/>
          <w:color w:val="0E1216"/>
          <w:lang w:eastAsia="de-DE"/>
        </w:rPr>
        <w:t xml:space="preserve">BürgerStiftung München die Auswahl der Projekte nach festgelegten </w:t>
      </w:r>
      <w:r w:rsidR="00DA0CE8">
        <w:rPr>
          <w:rFonts w:ascii="Arial" w:eastAsia="Times New Roman" w:hAnsi="Arial" w:cs="Arial"/>
          <w:color w:val="0E1216"/>
          <w:lang w:eastAsia="de-DE"/>
        </w:rPr>
        <w:t>Kriterien, die sich an der Agenda 2030 und den 17 Zielen zur nachhaltigen Entwicklung orientieren</w:t>
      </w:r>
      <w:r w:rsidRPr="000D7A87">
        <w:rPr>
          <w:rFonts w:ascii="Arial" w:eastAsia="Times New Roman" w:hAnsi="Arial" w:cs="Arial"/>
          <w:color w:val="0E1216"/>
          <w:lang w:eastAsia="de-DE"/>
        </w:rPr>
        <w:t xml:space="preserve">. </w:t>
      </w:r>
      <w:r w:rsidR="00DA0CE8">
        <w:rPr>
          <w:rFonts w:ascii="Arial" w:eastAsia="Times New Roman" w:hAnsi="Arial" w:cs="Arial"/>
          <w:color w:val="0E1216"/>
          <w:lang w:eastAsia="de-DE"/>
        </w:rPr>
        <w:t xml:space="preserve">Die BürgerStiftung München </w:t>
      </w:r>
      <w:r w:rsidRPr="000D7A87">
        <w:rPr>
          <w:rFonts w:ascii="Arial" w:eastAsia="Times New Roman" w:hAnsi="Arial" w:cs="Arial"/>
          <w:color w:val="0E1216"/>
          <w:lang w:eastAsia="de-DE"/>
        </w:rPr>
        <w:t>prüft die Anträge, berät, vernetzt, verantwortet und verwaltet.</w:t>
      </w:r>
    </w:p>
    <w:p w14:paraId="159AED6C" w14:textId="1AA72F7B" w:rsidR="00775CDD" w:rsidRPr="00D85387" w:rsidRDefault="00775CDD" w:rsidP="00D85387">
      <w:pPr>
        <w:spacing w:line="240" w:lineRule="auto"/>
        <w:rPr>
          <w:rFonts w:ascii="Arial" w:eastAsia="Times New Roman" w:hAnsi="Arial" w:cs="Arial"/>
          <w:color w:val="0E1216"/>
          <w:lang w:eastAsia="de-DE"/>
        </w:rPr>
      </w:pPr>
      <w:r w:rsidRPr="000D7A87">
        <w:rPr>
          <w:rFonts w:ascii="Arial" w:hAnsi="Arial" w:cs="Arial"/>
          <w:bCs/>
          <w:color w:val="000000"/>
        </w:rPr>
        <w:t xml:space="preserve">Folgende </w:t>
      </w:r>
      <w:r w:rsidR="00DA0CE8">
        <w:rPr>
          <w:rFonts w:ascii="Arial" w:hAnsi="Arial" w:cs="Arial"/>
          <w:bCs/>
          <w:color w:val="000000"/>
        </w:rPr>
        <w:t>Kriterien</w:t>
      </w:r>
      <w:r w:rsidR="000D7A87" w:rsidRPr="000D7A87">
        <w:rPr>
          <w:rFonts w:ascii="Arial" w:hAnsi="Arial" w:cs="Arial"/>
          <w:bCs/>
          <w:color w:val="000000"/>
        </w:rPr>
        <w:t xml:space="preserve"> gelten für </w:t>
      </w:r>
      <w:proofErr w:type="spellStart"/>
      <w:r w:rsidR="000D7A87" w:rsidRPr="000D7A87">
        <w:rPr>
          <w:rFonts w:ascii="Arial" w:hAnsi="Arial" w:cs="Arial"/>
          <w:bCs/>
          <w:color w:val="000000"/>
        </w:rPr>
        <w:t>Matching</w:t>
      </w:r>
      <w:proofErr w:type="spellEnd"/>
      <w:r w:rsidR="000D7A87" w:rsidRPr="000D7A87">
        <w:rPr>
          <w:rFonts w:ascii="Arial" w:hAnsi="Arial" w:cs="Arial"/>
          <w:bCs/>
          <w:color w:val="000000"/>
        </w:rPr>
        <w:t xml:space="preserve"> Fund Projekte:</w:t>
      </w:r>
    </w:p>
    <w:p w14:paraId="6B280BC2" w14:textId="77777777" w:rsidR="00775CDD" w:rsidRPr="000D7A87" w:rsidRDefault="00775CDD" w:rsidP="00775CDD">
      <w:pPr>
        <w:pStyle w:val="Standard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Das Projekt muss innerhalb eines Kalenderjahres abgeschlossen werden.</w:t>
      </w:r>
    </w:p>
    <w:p w14:paraId="1D04B07B" w14:textId="027BFEFE" w:rsidR="00775CDD" w:rsidRPr="00DA0CE8" w:rsidRDefault="00775CDD" w:rsidP="00DA0CE8">
      <w:pPr>
        <w:pStyle w:val="Standard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Mindestens die Hälfte der Projektkosten muss aus Eigen- oder anderen Drittmitteln finanziert werden.</w:t>
      </w:r>
      <w:r w:rsidR="00DA0CE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DA0CE8">
        <w:rPr>
          <w:rFonts w:ascii="Arial" w:hAnsi="Arial" w:cs="Arial"/>
          <w:bCs/>
          <w:color w:val="000000"/>
          <w:sz w:val="22"/>
          <w:szCs w:val="22"/>
        </w:rPr>
        <w:t xml:space="preserve">Wird </w:t>
      </w:r>
      <w:r w:rsidR="00DA0CE8">
        <w:rPr>
          <w:rFonts w:ascii="Arial" w:hAnsi="Arial" w:cs="Arial"/>
          <w:bCs/>
          <w:color w:val="000000"/>
          <w:sz w:val="22"/>
          <w:szCs w:val="22"/>
        </w:rPr>
        <w:t>das</w:t>
      </w:r>
      <w:r w:rsidRPr="00DA0CE8">
        <w:rPr>
          <w:rFonts w:ascii="Arial" w:hAnsi="Arial" w:cs="Arial"/>
          <w:bCs/>
          <w:color w:val="000000"/>
          <w:sz w:val="22"/>
          <w:szCs w:val="22"/>
        </w:rPr>
        <w:t xml:space="preserve"> Projekt bereits durch Zuschüsse der Stadt München gefördert, ist keine weitere Förderung über den </w:t>
      </w:r>
      <w:proofErr w:type="spellStart"/>
      <w:r w:rsidRPr="00DA0CE8">
        <w:rPr>
          <w:rFonts w:ascii="Arial" w:hAnsi="Arial" w:cs="Arial"/>
          <w:bCs/>
          <w:color w:val="000000"/>
          <w:sz w:val="22"/>
          <w:szCs w:val="22"/>
        </w:rPr>
        <w:t>Matching</w:t>
      </w:r>
      <w:proofErr w:type="spellEnd"/>
      <w:r w:rsidRPr="00DA0CE8">
        <w:rPr>
          <w:rFonts w:ascii="Arial" w:hAnsi="Arial" w:cs="Arial"/>
          <w:bCs/>
          <w:color w:val="000000"/>
          <w:sz w:val="22"/>
          <w:szCs w:val="22"/>
        </w:rPr>
        <w:t>-Fund möglich.</w:t>
      </w:r>
    </w:p>
    <w:p w14:paraId="57F3263D" w14:textId="3A228C84" w:rsidR="00775CDD" w:rsidRPr="000D7A87" w:rsidRDefault="00775CDD" w:rsidP="00775CDD">
      <w:pPr>
        <w:pStyle w:val="Standard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 xml:space="preserve">Förderwürdige Projekte müssen </w:t>
      </w:r>
      <w:r w:rsidRPr="000D7A87">
        <w:rPr>
          <w:rFonts w:ascii="Arial" w:hAnsi="Arial" w:cs="Arial"/>
          <w:bCs/>
          <w:color w:val="000000"/>
          <w:sz w:val="22"/>
          <w:szCs w:val="22"/>
        </w:rPr>
        <w:br/>
        <w:t>1. einen Bezug zur Stadt München haben und</w:t>
      </w:r>
      <w:r w:rsidRPr="000D7A87">
        <w:rPr>
          <w:rFonts w:ascii="Arial" w:hAnsi="Arial" w:cs="Arial"/>
          <w:bCs/>
          <w:color w:val="000000"/>
          <w:sz w:val="22"/>
          <w:szCs w:val="22"/>
        </w:rPr>
        <w:br/>
        <w:t>2. dem Leitbild der Nachhaltigkeit folgen. Dazu gehören z.B.:</w:t>
      </w:r>
    </w:p>
    <w:p w14:paraId="260EDDE9" w14:textId="77777777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Verbesserung des sozialen Zusammenhalts</w:t>
      </w:r>
    </w:p>
    <w:p w14:paraId="2363EEC4" w14:textId="53548511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Steigerung von Lebensqualität, Gesundheit und Wohlbefinden vor Ort</w:t>
      </w:r>
      <w:r w:rsidR="00DA0CE8">
        <w:rPr>
          <w:rFonts w:ascii="Arial" w:hAnsi="Arial" w:cs="Arial"/>
          <w:bCs/>
          <w:color w:val="000000"/>
          <w:sz w:val="22"/>
          <w:szCs w:val="22"/>
        </w:rPr>
        <w:t xml:space="preserve"> im Sinne einer nachhaltigen Entwicklung</w:t>
      </w:r>
    </w:p>
    <w:p w14:paraId="4BCB94BE" w14:textId="6112B6CE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 xml:space="preserve">Maßnahmen zum </w:t>
      </w:r>
      <w:r w:rsidR="00DA0CE8">
        <w:rPr>
          <w:rFonts w:ascii="Arial" w:hAnsi="Arial" w:cs="Arial"/>
          <w:bCs/>
          <w:color w:val="000000"/>
          <w:sz w:val="22"/>
          <w:szCs w:val="22"/>
        </w:rPr>
        <w:t xml:space="preserve">Klima- und </w:t>
      </w:r>
      <w:r w:rsidRPr="000D7A87">
        <w:rPr>
          <w:rFonts w:ascii="Arial" w:hAnsi="Arial" w:cs="Arial"/>
          <w:bCs/>
          <w:color w:val="000000"/>
          <w:sz w:val="22"/>
          <w:szCs w:val="22"/>
        </w:rPr>
        <w:t>Umweltschutz</w:t>
      </w:r>
    </w:p>
    <w:p w14:paraId="5C16180F" w14:textId="4FC9FC39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 xml:space="preserve">Stärkung </w:t>
      </w:r>
      <w:r w:rsidR="00DA0CE8">
        <w:rPr>
          <w:rFonts w:ascii="Arial" w:hAnsi="Arial" w:cs="Arial"/>
          <w:bCs/>
          <w:color w:val="000000"/>
          <w:sz w:val="22"/>
          <w:szCs w:val="22"/>
        </w:rPr>
        <w:t xml:space="preserve">nachhaltiger </w:t>
      </w:r>
      <w:r w:rsidRPr="000D7A87">
        <w:rPr>
          <w:rFonts w:ascii="Arial" w:hAnsi="Arial" w:cs="Arial"/>
          <w:bCs/>
          <w:color w:val="000000"/>
          <w:sz w:val="22"/>
          <w:szCs w:val="22"/>
        </w:rPr>
        <w:t>regionaler/lokaler Wirtschaftsstrukturen</w:t>
      </w:r>
    </w:p>
    <w:p w14:paraId="56A5EBE3" w14:textId="77777777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Förderung des fairen Handels</w:t>
      </w:r>
    </w:p>
    <w:p w14:paraId="365747A5" w14:textId="77777777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Förderung von gesellschaftlichem Engagement, Selbst- und Mitverantwortung</w:t>
      </w:r>
    </w:p>
    <w:p w14:paraId="4D645929" w14:textId="2B37B469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Vernetzung mit bestehenden Aktivitäten/</w:t>
      </w:r>
      <w:r w:rsidR="00DA0CE8">
        <w:rPr>
          <w:rFonts w:ascii="Arial" w:hAnsi="Arial" w:cs="Arial"/>
          <w:bCs/>
          <w:color w:val="000000"/>
          <w:sz w:val="22"/>
          <w:szCs w:val="22"/>
        </w:rPr>
        <w:t>Akteuren/</w:t>
      </w:r>
      <w:r w:rsidRPr="000D7A87">
        <w:rPr>
          <w:rFonts w:ascii="Arial" w:hAnsi="Arial" w:cs="Arial"/>
          <w:bCs/>
          <w:color w:val="000000"/>
          <w:sz w:val="22"/>
          <w:szCs w:val="22"/>
        </w:rPr>
        <w:t>Institutionen</w:t>
      </w:r>
    </w:p>
    <w:p w14:paraId="1DBD5A08" w14:textId="77777777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 xml:space="preserve">Etablierung von Strukturen, die sicherstellen, dass das Projekt langfristig trägt </w:t>
      </w:r>
    </w:p>
    <w:p w14:paraId="04339A1C" w14:textId="20FAF3A9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Beteiligungsprozesse für Bürger</w:t>
      </w:r>
      <w:r w:rsidR="00DA0CE8">
        <w:rPr>
          <w:rFonts w:ascii="Arial" w:hAnsi="Arial" w:cs="Arial"/>
          <w:bCs/>
          <w:color w:val="000000"/>
          <w:sz w:val="22"/>
          <w:szCs w:val="22"/>
        </w:rPr>
        <w:t>*</w:t>
      </w:r>
      <w:r w:rsidRPr="000D7A87">
        <w:rPr>
          <w:rFonts w:ascii="Arial" w:hAnsi="Arial" w:cs="Arial"/>
          <w:bCs/>
          <w:color w:val="000000"/>
          <w:sz w:val="22"/>
          <w:szCs w:val="22"/>
        </w:rPr>
        <w:t>innen und Bürgern</w:t>
      </w:r>
      <w:r w:rsidR="00DA0CE8">
        <w:rPr>
          <w:rFonts w:ascii="Arial" w:hAnsi="Arial" w:cs="Arial"/>
          <w:bCs/>
          <w:color w:val="000000"/>
          <w:sz w:val="22"/>
          <w:szCs w:val="22"/>
        </w:rPr>
        <w:t xml:space="preserve"> und Organisationen </w:t>
      </w:r>
      <w:r w:rsidRPr="000D7A87">
        <w:rPr>
          <w:rFonts w:ascii="Arial" w:hAnsi="Arial" w:cs="Arial"/>
          <w:bCs/>
          <w:color w:val="000000"/>
          <w:sz w:val="22"/>
          <w:szCs w:val="22"/>
        </w:rPr>
        <w:t>(Partizipation)</w:t>
      </w:r>
    </w:p>
    <w:p w14:paraId="4AABD64C" w14:textId="77777777" w:rsidR="00775CDD" w:rsidRPr="000D7A87" w:rsidRDefault="00775CDD" w:rsidP="00775CDD">
      <w:pPr>
        <w:pStyle w:val="StandardWeb"/>
        <w:numPr>
          <w:ilvl w:val="1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Erfolgskontrolle</w:t>
      </w:r>
    </w:p>
    <w:p w14:paraId="3D490F4E" w14:textId="77777777" w:rsidR="00775CDD" w:rsidRPr="000D7A87" w:rsidRDefault="00775CDD" w:rsidP="00775CDD">
      <w:pPr>
        <w:pStyle w:val="StandardWeb"/>
        <w:ind w:left="1080"/>
        <w:rPr>
          <w:rFonts w:ascii="Arial" w:hAnsi="Arial" w:cs="Arial"/>
          <w:bCs/>
          <w:color w:val="000000"/>
          <w:sz w:val="22"/>
          <w:szCs w:val="22"/>
        </w:rPr>
      </w:pPr>
    </w:p>
    <w:p w14:paraId="56767E31" w14:textId="1D90D09A" w:rsidR="00775CDD" w:rsidRPr="000D7A87" w:rsidRDefault="00775CDD" w:rsidP="00775CDD">
      <w:pPr>
        <w:pStyle w:val="Standard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Die maximale Fördersumme kann 9.000 Euro betragen</w:t>
      </w:r>
      <w:r w:rsidR="004956A8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F9A74AD" w14:textId="22ABC6B8" w:rsidR="00775CDD" w:rsidRDefault="00775CDD" w:rsidP="00775CDD">
      <w:pPr>
        <w:pStyle w:val="Standard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Die Fördermittel müssen innerhalb des vorbestimmten Kalenderjahres und in vollem Umfang eingesetzt werden (Belegpflicht).</w:t>
      </w:r>
    </w:p>
    <w:p w14:paraId="3A279D10" w14:textId="7758072C" w:rsidR="004956A8" w:rsidRPr="000D7A87" w:rsidRDefault="004956A8" w:rsidP="004956A8">
      <w:pPr>
        <w:pStyle w:val="StandardWeb"/>
        <w:numPr>
          <w:ilvl w:val="0"/>
          <w:numId w:val="1"/>
        </w:numPr>
        <w:rPr>
          <w:rFonts w:ascii="Arial" w:hAnsi="Arial" w:cs="Arial"/>
          <w:bCs/>
          <w:color w:val="000000"/>
          <w:sz w:val="22"/>
          <w:szCs w:val="22"/>
        </w:rPr>
      </w:pPr>
      <w:r w:rsidRPr="000D7A87">
        <w:rPr>
          <w:rFonts w:ascii="Arial" w:hAnsi="Arial" w:cs="Arial"/>
          <w:bCs/>
          <w:color w:val="000000"/>
          <w:sz w:val="22"/>
          <w:szCs w:val="22"/>
        </w:rPr>
        <w:t>Anträge sollten in der Regel bis Ende Dezember für eine Förderung im Folgejahr abgegeben werden</w:t>
      </w:r>
      <w:r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32F34840" w14:textId="77777777" w:rsidR="004956A8" w:rsidRPr="000D7A87" w:rsidRDefault="004956A8" w:rsidP="004956A8">
      <w:pPr>
        <w:pStyle w:val="StandardWeb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14:paraId="5BAFB8A1" w14:textId="1C2CA238" w:rsidR="004D674B" w:rsidRPr="00775CDD" w:rsidRDefault="00775CDD" w:rsidP="00775CDD">
      <w:pPr>
        <w:jc w:val="right"/>
        <w:rPr>
          <w:i/>
          <w:sz w:val="24"/>
          <w:szCs w:val="24"/>
        </w:rPr>
      </w:pPr>
      <w:r w:rsidRPr="00775CDD">
        <w:rPr>
          <w:i/>
          <w:sz w:val="24"/>
          <w:szCs w:val="24"/>
        </w:rPr>
        <w:t>Stand: Jan 20</w:t>
      </w:r>
      <w:r w:rsidR="004956A8">
        <w:rPr>
          <w:i/>
          <w:sz w:val="24"/>
          <w:szCs w:val="24"/>
        </w:rPr>
        <w:t>22</w:t>
      </w:r>
    </w:p>
    <w:sectPr w:rsidR="004D674B" w:rsidRPr="00775C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543E7"/>
    <w:multiLevelType w:val="hybridMultilevel"/>
    <w:tmpl w:val="D8189608"/>
    <w:lvl w:ilvl="0" w:tplc="92E4DF6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DD"/>
    <w:rsid w:val="000D7A87"/>
    <w:rsid w:val="004956A8"/>
    <w:rsid w:val="004D674B"/>
    <w:rsid w:val="00775CDD"/>
    <w:rsid w:val="00C92884"/>
    <w:rsid w:val="00D85387"/>
    <w:rsid w:val="00DA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6A73"/>
  <w15:docId w15:val="{089665C8-141A-4259-B30F-86B585B1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775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C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3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6E6E6"/>
                            <w:right w:val="none" w:sz="0" w:space="0" w:color="auto"/>
                          </w:divBdr>
                          <w:divsChild>
                            <w:div w:id="1911844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72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E6E6E6"/>
                                    <w:bottom w:val="none" w:sz="0" w:space="0" w:color="auto"/>
                                    <w:right w:val="single" w:sz="6" w:space="0" w:color="E6E6E6"/>
                                  </w:divBdr>
                                  <w:divsChild>
                                    <w:div w:id="1051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4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797535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Bürgerstiftung München</dc:creator>
  <cp:lastModifiedBy>Bürgerstiftung München</cp:lastModifiedBy>
  <cp:revision>2</cp:revision>
  <dcterms:created xsi:type="dcterms:W3CDTF">2022-02-01T13:13:00Z</dcterms:created>
  <dcterms:modified xsi:type="dcterms:W3CDTF">2022-02-01T13:13:00Z</dcterms:modified>
</cp:coreProperties>
</file>